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jc w:val="center"/>
        <w:rPr>
          <w:rFonts w:ascii="Verdana" w:hAnsi="Verdana"/>
          <w:b/>
          <w:caps/>
          <w:color w:val="002060"/>
          <w:sz w:val="20"/>
          <w:szCs w:val="20"/>
        </w:rPr>
      </w:pPr>
      <w:r>
        <w:rPr>
          <w:rFonts w:ascii="Verdana" w:hAnsi="Verdana"/>
          <w:b/>
          <w:caps/>
          <w:color w:val="002060"/>
          <w:sz w:val="20"/>
          <w:szCs w:val="20"/>
        </w:rPr>
        <w:drawing xmlns:mc="http://schemas.openxmlformats.org/markup-compatibility/2006">
          <wp:anchor allowOverlap="1" behindDoc="1" distT="0" distB="0" distL="114300" distR="114300" layoutInCell="1" locked="0" relativeHeight="251652111" simplePos="0">
            <wp:simplePos x="0" y="0"/>
            <wp:positionH relativeFrom="column">
              <wp:posOffset>277495</wp:posOffset>
            </wp:positionH>
            <wp:positionV relativeFrom="paragraph">
              <wp:posOffset>-571500</wp:posOffset>
            </wp:positionV>
            <wp:extent cx="5759450" cy="1504950"/>
            <wp:effectExtent l="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"/>
                    <pic:cNvPicPr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caps/>
          <w:color w:val="002060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52096" simplePos="0">
            <wp:simplePos x="0" y="0"/>
            <wp:positionH relativeFrom="page">
              <wp:align>center</wp:align>
            </wp:positionH>
            <wp:positionV relativeFrom="paragraph">
              <wp:posOffset>-1905</wp:posOffset>
            </wp:positionV>
            <wp:extent cx="1200150" cy="1209822"/>
            <wp:effectExtent l="0" t="0" r="0" b="0"/>
            <wp:wrapNone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center"/>
        <w:rPr>
          <w:rFonts w:ascii="Verdana" w:hAnsi="Verdana"/>
          <w:b/>
          <w:color w:val="002060"/>
          <w:sz w:val="24"/>
          <w:szCs w:val="24"/>
        </w:rPr>
      </w:pPr>
    </w:p>
    <w:p>
      <w:pPr>
        <w:jc w:val="center"/>
        <w:rPr>
          <w:rFonts w:ascii="Verdana" w:hAnsi="Verdana"/>
          <w:b/>
          <w:color w:val="002060"/>
          <w:sz w:val="24"/>
          <w:szCs w:val="24"/>
        </w:rPr>
      </w:pPr>
    </w:p>
    <w:p>
      <w:pPr>
        <w:spacing w:line="240" w:lineRule="auto"/>
        <w:jc w:val="center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 xml:space="preserve">15-й Каспийский энергетический форум </w:t>
      </w:r>
    </w:p>
    <w:p>
      <w:pPr>
        <w:spacing w:line="240" w:lineRule="auto"/>
        <w:jc w:val="center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>"Энергетический диалог в контексте обеспечения международной энергетической безопасности"</w:t>
      </w:r>
    </w:p>
    <w:p>
      <w:pPr>
        <w:spacing w:line="240" w:lineRule="auto"/>
        <w:jc w:val="center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>20 апреля</w:t>
      </w:r>
      <w:r>
        <w:rPr>
          <w:rFonts w:ascii="Verdana" w:hAnsi="Verdana"/>
          <w:b/>
          <w:color w:val="002060"/>
          <w:sz w:val="24"/>
          <w:szCs w:val="24"/>
        </w:rPr>
        <w:t xml:space="preserve"> </w:t>
      </w:r>
      <w:r>
        <w:rPr>
          <w:rFonts w:ascii="Verdana" w:hAnsi="Verdana"/>
          <w:b/>
          <w:color w:val="002060"/>
          <w:sz w:val="24"/>
          <w:szCs w:val="24"/>
        </w:rPr>
        <w:t>202</w:t>
      </w:r>
      <w:r>
        <w:rPr>
          <w:rFonts w:ascii="Verdana" w:hAnsi="Verdana"/>
          <w:b/>
          <w:color w:val="002060"/>
          <w:sz w:val="24"/>
          <w:szCs w:val="24"/>
        </w:rPr>
        <w:t>3</w:t>
      </w:r>
      <w:r>
        <w:rPr>
          <w:rFonts w:ascii="Verdana" w:hAnsi="Verdana"/>
          <w:b/>
          <w:color w:val="002060"/>
          <w:sz w:val="24"/>
          <w:szCs w:val="24"/>
        </w:rPr>
        <w:t xml:space="preserve"> года. </w:t>
      </w:r>
    </w:p>
    <w:p>
      <w:pPr>
        <w:spacing w:line="240" w:lineRule="auto"/>
        <w:jc w:val="center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г. Москв</w:t>
      </w:r>
      <w:r>
        <w:rPr>
          <w:rFonts w:ascii="Verdana" w:hAnsi="Verdana"/>
          <w:color w:val="002060"/>
          <w:sz w:val="24"/>
          <w:szCs w:val="24"/>
        </w:rPr>
        <w:t>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708"/>
        <w:jc w:val="both"/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</w:pP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 xml:space="preserve">Важнейшей целью Каспийского энергетического диалога является содействие обеспечению международной, межрегиональной и национальной энергетической безопасности.  </w:t>
      </w: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>Как показывает практика,</w:t>
      </w: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 xml:space="preserve"> развитие энергетического диалога со всеми субъектами энергетических рынков Каспийского региона, расширение направлений и внедрение новых форм научно-технологического сотрудничества способствует модернизации и инновационному обновлению отраслей топливно-энергетического комплекса, являющегося локомотивом экономики стран региона, и позитивно отражается на организации бесперебойных поставок углеводородных ресурсов на внешние рынки. Кроме этого, внедрение экологически чистых и ресурсосберегающих технологий и оборудования на нефтегазодобывающих предприятиях, нефтегазоперерабатывающих комплексах и трубопроводном транспорте способствует обеспечению экологической безопасности Каспия.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708"/>
        <w:jc w:val="both"/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</w:pP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>В</w:t>
      </w: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 xml:space="preserve"> реализации этих целей и</w:t>
      </w: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 xml:space="preserve"> состоит </w:t>
      </w:r>
      <w:r>
        <w:rPr>
          <w:rFonts w:ascii="Verdana" w:cs="Times New Roman" w:eastAsia="Times New Roman" w:hAnsi="Verdana"/>
          <w:b/>
          <w:bCs/>
          <w:sz w:val="20"/>
          <w:szCs w:val="20"/>
          <w:rtl w:val="off"/>
          <w:lang w:eastAsia="ru-RU"/>
        </w:rPr>
        <w:t>миссия ежегодного Каспийского энергетического форума.</w:t>
      </w:r>
      <w:r>
        <w:rPr>
          <w:rFonts w:ascii="Verdana" w:cs="Times New Roman" w:eastAsia="Times New Roman" w:hAnsi="Verdana"/>
          <w:bCs/>
          <w:sz w:val="20"/>
          <w:szCs w:val="20"/>
          <w:rtl w:val="off"/>
          <w:lang w:eastAsia="ru-RU"/>
        </w:rPr>
        <w:t xml:space="preserve"> </w:t>
      </w:r>
    </w:p>
    <w:p>
      <w:pPr>
        <w:spacing w:after="0" w:line="276"/>
        <w:ind w:firstLine="708"/>
        <w:jc w:val="both"/>
        <w:rPr>
          <w:rFonts w:ascii="Verdana" w:hAnsi="Verdana"/>
          <w:sz w:val="20"/>
          <w:szCs w:val="20"/>
          <w:highlight w:val="none"/>
        </w:rPr>
      </w:pPr>
      <w:r>
        <w:rPr>
          <w:rFonts w:ascii="Verdana" w:hAnsi="Verdana"/>
          <w:b/>
          <w:sz w:val="20"/>
          <w:szCs w:val="20"/>
          <w:highlight w:val="none"/>
        </w:rPr>
        <w:t xml:space="preserve">20 апреля 2023 года </w:t>
      </w:r>
      <w:r>
        <w:rPr>
          <w:rFonts w:ascii="Verdana" w:hAnsi="Verdana"/>
          <w:bCs/>
          <w:sz w:val="20"/>
          <w:szCs w:val="20"/>
          <w:highlight w:val="none"/>
        </w:rPr>
        <w:t>в</w:t>
      </w:r>
      <w:r>
        <w:rPr>
          <w:rFonts w:ascii="Verdana" w:hAnsi="Verdana"/>
          <w:sz w:val="20"/>
          <w:szCs w:val="20"/>
          <w:highlight w:val="none"/>
        </w:rPr>
        <w:t xml:space="preserve"> Москве в конференц зале МГРИ планируется проведение </w:t>
      </w:r>
      <w:r>
        <w:rPr>
          <w:rFonts w:ascii="Verdana" w:hAnsi="Verdana"/>
          <w:b/>
          <w:sz w:val="20"/>
          <w:szCs w:val="20"/>
          <w:highlight w:val="none"/>
        </w:rPr>
        <w:t xml:space="preserve">15-го Каспийского энергетического форума </w:t>
      </w:r>
      <w:r>
        <w:rPr>
          <w:rFonts w:ascii="Verdana" w:hAnsi="Verdana"/>
          <w:sz w:val="20"/>
          <w:szCs w:val="20"/>
          <w:highlight w:val="none"/>
        </w:rPr>
        <w:t>(далее-Форум) при поддержке Фонда поддержки публичной дипломатии имени А.М. Горчакова</w:t>
      </w:r>
      <w:r>
        <w:rPr>
          <w:rFonts w:ascii="Verdana" w:hAnsi="Verdana"/>
          <w:bCs/>
          <w:sz w:val="20"/>
          <w:szCs w:val="20"/>
          <w:highlight w:val="none"/>
        </w:rPr>
        <w:t>.</w:t>
      </w:r>
      <w:r>
        <w:rPr>
          <w:rFonts w:ascii="Verdana" w:hAnsi="Verdana"/>
          <w:b/>
          <w:sz w:val="20"/>
          <w:szCs w:val="20"/>
        </w:rPr>
        <w:t xml:space="preserve">  </w:t>
      </w:r>
    </w:p>
    <w:p>
      <w:pPr>
        <w:spacing w:line="276" w:lineRule="auto"/>
        <w:ind w:firstLine="708"/>
        <w:jc w:val="both"/>
        <w:rPr>
          <w:rFonts w:ascii="Verdana" w:hAnsi="Verdana"/>
          <w:sz w:val="20"/>
          <w:szCs w:val="20"/>
          <w:highlight w:val="none"/>
        </w:rPr>
      </w:pPr>
      <w:r>
        <w:rPr>
          <w:rFonts w:ascii="Verdana" w:hAnsi="Verdana"/>
          <w:b/>
          <w:bCs/>
          <w:sz w:val="20"/>
          <w:szCs w:val="20"/>
          <w:highlight w:val="none"/>
        </w:rPr>
        <w:t>Соорганизаторы и партнеры Форума</w:t>
      </w:r>
      <w:r>
        <w:rPr>
          <w:rFonts w:ascii="Verdana" w:hAnsi="Verdana"/>
          <w:sz w:val="20"/>
          <w:szCs w:val="20"/>
          <w:highlight w:val="none"/>
        </w:rPr>
        <w:t>: Научный Совет РАН по геологии и разработке месторождений нефти, газа и угля, ФГБУН «Институт нефтегазовой геологии и геофизики им. А. А. Трофимука СО РАН», ФГБОУ ВО «Российский государственный геологоразведочный университет имени Серго Орджоникидзе» (МГРИ), ФГБУН «Институт проблем нефти и газа РАН»,  ФГБУН «Институт систем энергетики им. Л.А. Мелентьева СО РАН» и Совет «Наука и инновации Каспия».</w:t>
      </w:r>
    </w:p>
    <w:p>
      <w:pPr>
        <w:spacing w:after="60" w:line="276" w:lineRule="auto"/>
        <w:ind w:firstLine="708"/>
        <w:jc w:val="both"/>
        <w:rPr>
          <w:rFonts w:ascii="Verdana" w:eastAsia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Почетный </w:t>
      </w:r>
      <w:r>
        <w:rPr>
          <w:rFonts w:ascii="Verdana" w:hAnsi="Verdana"/>
          <w:b/>
          <w:bCs/>
          <w:sz w:val="20"/>
          <w:szCs w:val="20"/>
        </w:rPr>
        <w:t>П</w:t>
      </w:r>
      <w:r>
        <w:rPr>
          <w:rFonts w:ascii="Verdana" w:hAnsi="Verdana"/>
          <w:b/>
          <w:bCs/>
          <w:sz w:val="20"/>
          <w:szCs w:val="20"/>
        </w:rPr>
        <w:t>редседатель</w:t>
      </w:r>
      <w:r>
        <w:rPr>
          <w:rFonts w:eastAsia="Verdana"/>
          <w:b/>
          <w:bCs/>
        </w:rPr>
        <w:t xml:space="preserve"> </w:t>
      </w:r>
      <w:r>
        <w:rPr>
          <w:rFonts w:ascii="Verdana" w:eastAsia="Verdana" w:hAnsi="Verdana"/>
          <w:b/>
          <w:bCs/>
          <w:sz w:val="20"/>
          <w:szCs w:val="20"/>
        </w:rPr>
        <w:t xml:space="preserve">Программного Комитета Каспийского </w:t>
      </w:r>
      <w:r>
        <w:rPr>
          <w:rFonts w:ascii="Verdana" w:eastAsia="Verdana" w:hAnsi="Verdana"/>
          <w:b/>
          <w:bCs/>
          <w:sz w:val="20"/>
          <w:szCs w:val="20"/>
        </w:rPr>
        <w:t xml:space="preserve">               </w:t>
      </w:r>
      <w:r>
        <w:rPr>
          <w:rFonts w:ascii="Verdana" w:eastAsia="Verdana" w:hAnsi="Verdana"/>
          <w:b/>
          <w:bCs/>
          <w:sz w:val="20"/>
          <w:szCs w:val="20"/>
        </w:rPr>
        <w:t>энергетического форума</w:t>
      </w:r>
      <w:r>
        <w:rPr>
          <w:rFonts w:ascii="Verdana" w:eastAsia="Verdana" w:hAnsi="Verdana"/>
          <w:b/>
          <w:bCs/>
          <w:sz w:val="20"/>
          <w:szCs w:val="20"/>
        </w:rPr>
        <w:t>:</w:t>
      </w:r>
    </w:p>
    <w:p>
      <w:pPr>
        <w:pStyle w:val="NoSpacing"/>
        <w:ind w:left="708"/>
        <w:rPr>
          <w:rFonts w:ascii="Verdana" w:hAnsi="Verdana"/>
          <w:b/>
          <w:bCs/>
          <w:sz w:val="20"/>
          <w:szCs w:val="20"/>
        </w:rPr>
      </w:pPr>
    </w:p>
    <w:p>
      <w:pPr>
        <w:pStyle w:val="NoSpacing"/>
        <w:tabs>
          <w:tab w:val="left" w:leader="none" w:pos="735"/>
        </w:tabs>
        <w:ind w:left="-2"/>
        <w:rPr>
          <w:rFonts w:ascii="Verdana" w:cs="Verdana" w:eastAsia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Калюжный Виктор Иванович, </w:t>
      </w:r>
      <w:r>
        <w:rPr>
          <w:rFonts w:ascii="Verdana" w:cs="Verdana" w:eastAsia="Verdana" w:hAnsi="Verdana"/>
          <w:sz w:val="20"/>
          <w:szCs w:val="20"/>
        </w:rPr>
        <w:t>Чрезвычайный и Полномочный Посол Российской Федерации, Председатель Президиума Совета «Наука и инновации Каспия».</w:t>
      </w:r>
    </w:p>
    <w:p>
      <w:pPr>
        <w:pStyle w:val="NoSpacing"/>
        <w:tabs>
          <w:tab w:val="left" w:leader="none" w:pos="735"/>
        </w:tabs>
        <w:ind w:left="-2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</w:t>
      </w:r>
    </w:p>
    <w:p>
      <w:pPr>
        <w:pStyle w:val="NoSpacing"/>
        <w:tabs>
          <w:tab w:val="left" w:leader="none" w:pos="735"/>
        </w:tabs>
        <w:ind w:left="-2" w:firstLine="708"/>
        <w:rPr>
          <w:rFonts w:ascii="Verdana" w:eastAsia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П</w:t>
      </w:r>
      <w:r>
        <w:rPr>
          <w:rFonts w:ascii="Verdana" w:hAnsi="Verdana"/>
          <w:b/>
          <w:bCs/>
          <w:sz w:val="20"/>
          <w:szCs w:val="20"/>
        </w:rPr>
        <w:t>редседатель</w:t>
      </w:r>
      <w:r>
        <w:rPr>
          <w:rFonts w:eastAsia="Verdana"/>
          <w:b/>
          <w:bCs/>
        </w:rPr>
        <w:t xml:space="preserve"> </w:t>
      </w:r>
      <w:r>
        <w:rPr>
          <w:rFonts w:ascii="Verdana" w:eastAsia="Verdana" w:hAnsi="Verdana"/>
          <w:b/>
          <w:bCs/>
          <w:sz w:val="20"/>
          <w:szCs w:val="20"/>
        </w:rPr>
        <w:t xml:space="preserve">Программного Комитета </w:t>
      </w:r>
      <w:r>
        <w:rPr>
          <w:rFonts w:ascii="Verdana" w:eastAsia="Verdana" w:hAnsi="Verdana"/>
          <w:b/>
          <w:bCs/>
          <w:sz w:val="20"/>
          <w:szCs w:val="20"/>
        </w:rPr>
        <w:t>Каспийского</w:t>
      </w:r>
      <w:r>
        <w:rPr>
          <w:rFonts w:ascii="Verdana" w:eastAsia="Verdana" w:hAnsi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/>
          <w:b/>
          <w:bCs/>
          <w:sz w:val="20"/>
          <w:szCs w:val="20"/>
        </w:rPr>
        <w:t>энергетического форума</w:t>
      </w:r>
      <w:r>
        <w:rPr>
          <w:rFonts w:ascii="Verdana" w:eastAsia="Verdana" w:hAnsi="Verdana"/>
          <w:b/>
          <w:bCs/>
          <w:sz w:val="20"/>
          <w:szCs w:val="20"/>
        </w:rPr>
        <w:t>:</w:t>
      </w:r>
    </w:p>
    <w:p>
      <w:pPr>
        <w:pStyle w:val="NoSpacing"/>
        <w:spacing w:line="276" w:lineRule="auto"/>
        <w:ind w:left="720" w:firstLine="696"/>
        <w:jc w:val="both"/>
        <w:rPr>
          <w:rFonts w:ascii="Verdana" w:eastAsia="Verdana" w:hAnsi="Verdana"/>
          <w:b/>
          <w:bCs/>
          <w:sz w:val="20"/>
          <w:szCs w:val="20"/>
        </w:rPr>
      </w:pPr>
    </w:p>
    <w:p>
      <w:pPr>
        <w:pStyle w:val="NoSpacing"/>
        <w:ind w:left="38"/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Конторович Алексей Эмильевич</w:t>
      </w:r>
      <w:r>
        <w:rPr>
          <w:rFonts w:ascii="Verdana" w:hAnsi="Verdana"/>
          <w:sz w:val="20"/>
          <w:szCs w:val="20"/>
        </w:rPr>
        <w:t>,</w:t>
      </w:r>
      <w:r>
        <w:rPr>
          <w:rFonts w:ascii="Verdana" w:eastAsia="Verdana" w:hAnsi="Verdana"/>
          <w:sz w:val="20"/>
          <w:szCs w:val="20"/>
        </w:rPr>
        <w:t xml:space="preserve"> академик РАН</w:t>
      </w:r>
      <w:r>
        <w:rPr>
          <w:rFonts w:ascii="Verdana" w:eastAsia="Verdana" w:hAnsi="Verdana"/>
          <w:sz w:val="20"/>
          <w:szCs w:val="20"/>
        </w:rPr>
        <w:t xml:space="preserve">, </w:t>
      </w:r>
      <w:r>
        <w:rPr>
          <w:rFonts w:ascii="Verdana" w:eastAsia="Verdana" w:hAnsi="Verdana"/>
          <w:sz w:val="20"/>
          <w:szCs w:val="20"/>
        </w:rPr>
        <w:t xml:space="preserve">советник РАН, </w:t>
      </w:r>
      <w:r>
        <w:rPr>
          <w:rFonts w:ascii="Verdana" w:hAnsi="Verdana"/>
          <w:sz w:val="20"/>
          <w:szCs w:val="20"/>
        </w:rPr>
        <w:t xml:space="preserve">председатель Научного Совета РАН по проблемам геологии и разработки месторождений нефти, газа и угля, член Президиума СО РАН, научный руководитель ИНГГ им. А.А. </w:t>
      </w:r>
      <w:r>
        <w:rPr>
          <w:rFonts w:ascii="Verdana" w:hAnsi="Verdana"/>
          <w:sz w:val="20"/>
          <w:szCs w:val="20"/>
        </w:rPr>
        <w:t>Трофимука</w:t>
      </w:r>
      <w:r>
        <w:rPr>
          <w:rFonts w:ascii="Verdana" w:hAnsi="Verdana"/>
          <w:sz w:val="20"/>
          <w:szCs w:val="20"/>
        </w:rPr>
        <w:t xml:space="preserve"> СО РАН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eastAsia="Verdana" w:hAnsi="Verdana"/>
          <w:sz w:val="20"/>
          <w:szCs w:val="20"/>
        </w:rPr>
        <w:t>Научный руководитель Совета «Наука и инновации Каспия»</w:t>
      </w:r>
      <w:r>
        <w:rPr>
          <w:rFonts w:ascii="Verdana" w:eastAsia="Verdana" w:hAnsi="Verdana"/>
          <w:sz w:val="20"/>
          <w:szCs w:val="20"/>
        </w:rPr>
        <w:t>.</w:t>
      </w:r>
    </w:p>
    <w:p>
      <w:pPr>
        <w:pStyle w:val="NoSpacing"/>
        <w:ind w:left="38" w:firstLine="67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Каспийский энергетический диалог в рамках </w:t>
      </w:r>
      <w:r>
        <w:rPr>
          <w:rFonts w:ascii="Verdana" w:hAnsi="Verdana"/>
          <w:b/>
          <w:sz w:val="20"/>
          <w:szCs w:val="20"/>
        </w:rPr>
        <w:t>КЭФ,</w:t>
      </w:r>
      <w:r>
        <w:rPr>
          <w:rFonts w:ascii="Verdana" w:hAnsi="Verdana"/>
          <w:b/>
          <w:sz w:val="20"/>
          <w:szCs w:val="20"/>
        </w:rPr>
        <w:t>2023</w:t>
      </w:r>
      <w:r>
        <w:rPr>
          <w:rFonts w:ascii="Verdana" w:hAnsi="Verdana"/>
          <w:bCs/>
          <w:sz w:val="20"/>
          <w:szCs w:val="20"/>
        </w:rPr>
        <w:t xml:space="preserve"> будет организован в очном и онлайн форматах по актуальной для Каспийского региона энергетической повестке с широким участием представителей науки и общественности, международных организаций и энергетических альянсов, национальных правительств и бизнеса.  Участниками будут представлены аналитические доклады и предложения по совместным проектам в сфере геологического изучения, добычи, переработки и транспортировки углеводородных ресурсов, в сфере экологии и электроэнергетики. </w:t>
      </w:r>
    </w:p>
    <w:p>
      <w:pPr>
        <w:pStyle w:val="NoSpacing"/>
        <w:ind w:left="38" w:firstLine="67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В рамках предстоящего Форума планируется организовать д</w:t>
      </w:r>
      <w:r>
        <w:rPr>
          <w:rFonts w:ascii="Verdana" w:hAnsi="Verdana"/>
          <w:bCs/>
          <w:sz w:val="20"/>
          <w:szCs w:val="20"/>
        </w:rPr>
        <w:t>искуссионную</w:t>
      </w:r>
      <w:r>
        <w:rPr>
          <w:rFonts w:ascii="Verdana" w:hAnsi="Verdana"/>
          <w:bCs/>
          <w:sz w:val="20"/>
          <w:szCs w:val="20"/>
        </w:rPr>
        <w:t xml:space="preserve"> сессию «Каспийский энергетический диалог-новая историческая перспектива», фокус-сессию </w:t>
      </w:r>
      <w:r>
        <w:rPr>
          <w:rFonts w:ascii="Verdana" w:hAnsi="Verdana"/>
          <w:bCs/>
          <w:sz w:val="20"/>
          <w:szCs w:val="20"/>
        </w:rPr>
        <w:t>«Нефтегазовый комплекс. Технологии, оборудование, материалы», сессию «Электроэнергетика. Вызовы и предложения», круглый стол «Импортозамещени</w:t>
      </w:r>
      <w:r>
        <w:rPr>
          <w:rFonts w:ascii="Verdana" w:hAnsi="Verdana"/>
          <w:bCs/>
          <w:sz w:val="20"/>
          <w:szCs w:val="20"/>
        </w:rPr>
        <w:t>е</w:t>
      </w:r>
      <w:r>
        <w:rPr>
          <w:rFonts w:ascii="Verdana" w:hAnsi="Verdana"/>
          <w:bCs/>
          <w:sz w:val="20"/>
          <w:szCs w:val="20"/>
        </w:rPr>
        <w:t xml:space="preserve"> в ключевых отраслях промышленности», а также презентации, переговоры и подписание соглашений. </w:t>
      </w:r>
    </w:p>
    <w:p>
      <w:pPr>
        <w:pStyle w:val="NoSpacing"/>
        <w:ind w:left="38" w:firstLine="67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15-й Каспийский энергетический форум  откроется Стратегической сессией </w:t>
      </w:r>
      <w:r>
        <w:rPr>
          <w:rFonts w:ascii="Verdana" w:hAnsi="Verdana"/>
          <w:b/>
          <w:bCs/>
          <w:sz w:val="20"/>
          <w:szCs w:val="20"/>
        </w:rPr>
        <w:t>"Энергетический диалог в контексте обеспечения международной энергетической безопасности"</w:t>
      </w:r>
      <w:r>
        <w:rPr>
          <w:rFonts w:ascii="Verdana" w:hAnsi="Verdana"/>
          <w:bCs/>
          <w:sz w:val="20"/>
          <w:szCs w:val="20"/>
        </w:rPr>
        <w:t>, на которой</w:t>
      </w:r>
      <w:r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 xml:space="preserve">предполагается обсудить: </w:t>
      </w:r>
    </w:p>
    <w:p>
      <w:pPr>
        <w:pStyle w:val="NoSpacing"/>
        <w:numPr>
          <w:ilvl w:val="0"/>
          <w:numId w:val="4"/>
        </w:numPr>
        <w:spacing w:line="276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р</w:t>
      </w:r>
      <w:r>
        <w:rPr>
          <w:rFonts w:ascii="Verdana" w:hAnsi="Verdana"/>
          <w:bCs/>
          <w:sz w:val="20"/>
          <w:szCs w:val="20"/>
        </w:rPr>
        <w:t>азвитие межрегионального и международного энергетического диалога, в том числе с субъектами перспективных энергетических рынков</w:t>
      </w:r>
    </w:p>
    <w:p>
      <w:pPr>
        <w:pStyle w:val="NoSpacing"/>
        <w:numPr>
          <w:ilvl w:val="0"/>
          <w:numId w:val="4"/>
        </w:num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о</w:t>
      </w:r>
      <w:r>
        <w:rPr>
          <w:rFonts w:ascii="Verdana" w:hAnsi="Verdana"/>
          <w:bCs/>
          <w:sz w:val="20"/>
          <w:szCs w:val="20"/>
        </w:rPr>
        <w:t>ценка потенциальных энергетических ресурсов Каспийского региона</w:t>
      </w:r>
    </w:p>
    <w:p>
      <w:pPr>
        <w:pStyle w:val="NoSpacing"/>
        <w:numPr>
          <w:ilvl w:val="0"/>
          <w:numId w:val="4"/>
        </w:num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п</w:t>
      </w:r>
      <w:r>
        <w:rPr>
          <w:rFonts w:ascii="Verdana" w:hAnsi="Verdana"/>
          <w:bCs/>
          <w:sz w:val="20"/>
          <w:szCs w:val="20"/>
        </w:rPr>
        <w:t xml:space="preserve">рогноз </w:t>
      </w:r>
      <w:r>
        <w:rPr>
          <w:rFonts w:ascii="Verdana" w:hAnsi="Verdana"/>
          <w:bCs/>
          <w:sz w:val="20"/>
          <w:szCs w:val="20"/>
        </w:rPr>
        <w:t>нефтегазопоисковых</w:t>
      </w:r>
      <w:r>
        <w:rPr>
          <w:rFonts w:ascii="Verdana" w:hAnsi="Verdana"/>
          <w:bCs/>
          <w:sz w:val="20"/>
          <w:szCs w:val="20"/>
        </w:rPr>
        <w:t xml:space="preserve"> работ в Каспийском регионе, способных обеспечить расширенное воспроизводство запасов углеводородного сырья, сохранение и увеличения уровней добычи на средне- и долгосрочную перспективу</w:t>
      </w:r>
    </w:p>
    <w:p>
      <w:pPr>
        <w:pStyle w:val="NoSpacing"/>
        <w:numPr>
          <w:ilvl w:val="0"/>
          <w:numId w:val="4"/>
        </w:numPr>
        <w:shd w:val="clear" w:color="auto" w:fill="ffffff" w:themeFill="background1"/>
        <w:spacing w:line="276" w:lineRule="auto"/>
        <w:ind w:right="142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исследования и прогнозы природных, техногенных, технологических и геологических рисков для разработки УВ в регионе Каспийского моря и организации их поставок на внешние рынки</w:t>
      </w:r>
    </w:p>
    <w:p>
      <w:pPr>
        <w:pStyle w:val="NoSpacing"/>
        <w:numPr>
          <w:ilvl w:val="0"/>
          <w:numId w:val="4"/>
        </w:numPr>
        <w:shd w:val="clear" w:color="auto" w:fill="ffffff" w:themeFill="background1"/>
        <w:spacing w:line="276" w:lineRule="auto"/>
        <w:ind w:right="142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п</w:t>
      </w:r>
      <w:r>
        <w:rPr>
          <w:rFonts w:ascii="Verdana" w:hAnsi="Verdana"/>
          <w:bCs/>
          <w:sz w:val="20"/>
          <w:szCs w:val="20"/>
        </w:rPr>
        <w:t>ути повышения уровня комплексной безопасности критически важных объектов топливно-энергетического комплекса</w:t>
      </w:r>
      <w:r>
        <w:rPr>
          <w:rFonts w:ascii="Verdana" w:hAnsi="Verdana"/>
          <w:bCs/>
          <w:sz w:val="20"/>
          <w:szCs w:val="20"/>
        </w:rPr>
        <w:t>.</w:t>
      </w:r>
    </w:p>
    <w:p>
      <w:pPr>
        <w:pStyle w:val="NoSpacing"/>
        <w:ind w:left="720" w:firstLine="696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К участию в дискуссиях будут приглашены из стран региона </w:t>
      </w:r>
      <w:r>
        <w:rPr>
          <w:rFonts w:ascii="Verdana" w:hAnsi="Verdana"/>
          <w:bCs/>
          <w:sz w:val="20"/>
          <w:szCs w:val="20"/>
        </w:rPr>
        <w:t xml:space="preserve">руководители и </w:t>
      </w:r>
      <w:r>
        <w:rPr>
          <w:rFonts w:ascii="Verdana" w:hAnsi="Verdana"/>
          <w:bCs/>
          <w:sz w:val="20"/>
          <w:szCs w:val="20"/>
        </w:rPr>
        <w:t xml:space="preserve">представители </w:t>
      </w:r>
      <w:r>
        <w:rPr>
          <w:rFonts w:ascii="Verdana" w:hAnsi="Verdana"/>
          <w:bCs/>
          <w:sz w:val="20"/>
          <w:szCs w:val="20"/>
        </w:rPr>
        <w:t>органов власти, предприятий нефтегазового и электроэнергетического комплекса, а</w:t>
      </w:r>
      <w:r>
        <w:rPr>
          <w:rFonts w:ascii="Verdana" w:hAnsi="Verdana"/>
          <w:bCs/>
          <w:sz w:val="20"/>
          <w:szCs w:val="20"/>
        </w:rPr>
        <w:t xml:space="preserve">кадемий </w:t>
      </w:r>
      <w:r>
        <w:rPr>
          <w:rFonts w:ascii="Verdana" w:hAnsi="Verdana"/>
          <w:bCs/>
          <w:sz w:val="20"/>
          <w:szCs w:val="20"/>
        </w:rPr>
        <w:t>н</w:t>
      </w:r>
      <w:r>
        <w:rPr>
          <w:rFonts w:ascii="Verdana" w:hAnsi="Verdana"/>
          <w:bCs/>
          <w:sz w:val="20"/>
          <w:szCs w:val="20"/>
        </w:rPr>
        <w:t xml:space="preserve">аук, отраслевых научных учреждений, профессорско-преподавательского состава ВУЗов сферы ТЭК, в том числе признанные ученые и начинающие исследователи. </w:t>
      </w:r>
    </w:p>
    <w:p>
      <w:pPr>
        <w:pStyle w:val="NoSpacing"/>
        <w:spacing w:line="276" w:lineRule="auto"/>
        <w:ind w:left="720" w:firstLine="696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Кроме этого, учитывая возрастающее геополитическое значение углубления Каспийского </w:t>
      </w:r>
      <w:r>
        <w:rPr>
          <w:rFonts w:ascii="Verdana" w:hAnsi="Verdana"/>
          <w:bCs/>
          <w:sz w:val="20"/>
          <w:szCs w:val="20"/>
        </w:rPr>
        <w:t xml:space="preserve">энергетического </w:t>
      </w:r>
      <w:r>
        <w:rPr>
          <w:rFonts w:ascii="Verdana" w:hAnsi="Verdana"/>
          <w:bCs/>
          <w:sz w:val="20"/>
          <w:szCs w:val="20"/>
        </w:rPr>
        <w:t xml:space="preserve">диалога в новых условиях и возможности Форума, как механизма общественно-научной дипломатии для расширения международного научно-технического и инновационного сотрудничества в регионе, к участию в Форуме будут приглашены представители компаний и проектно-конструкторских бюро-разработчики технологий, производители оборудования для нефтегазовой промышленности и электроэнергетического комплекса стран Каспия. </w:t>
      </w:r>
    </w:p>
    <w:p>
      <w:pPr>
        <w:pStyle w:val="NoSpacing"/>
        <w:spacing w:line="276" w:lineRule="auto"/>
        <w:ind w:left="720" w:firstLine="696"/>
        <w:jc w:val="both"/>
        <w:rPr>
          <w:rFonts w:ascii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В плане мероприятий «КЭФ,</w:t>
      </w:r>
      <w:r>
        <w:rPr>
          <w:rFonts w:ascii="Verdana" w:eastAsia="Verdana" w:hAnsi="Verdana"/>
          <w:sz w:val="20"/>
          <w:szCs w:val="20"/>
        </w:rPr>
        <w:t>2023</w:t>
      </w:r>
      <w:r>
        <w:rPr>
          <w:rFonts w:ascii="Verdana" w:eastAsia="Verdana" w:hAnsi="Verdana"/>
          <w:sz w:val="20"/>
          <w:szCs w:val="20"/>
        </w:rPr>
        <w:t>» ожидается проведение официальных и деловых встреч с представителями органов власти, государственных и частных корпораций, научных учреждений и СМИ стран Каспия.</w:t>
      </w:r>
      <w:r>
        <w:rPr>
          <w:rFonts w:ascii="Verdana" w:hAnsi="Verdana"/>
          <w:sz w:val="20"/>
          <w:szCs w:val="20"/>
        </w:rPr>
        <w:t xml:space="preserve"> </w:t>
      </w:r>
    </w:p>
    <w:p>
      <w:pPr>
        <w:pStyle w:val="NoSpacing"/>
        <w:spacing w:line="276" w:lineRule="auto"/>
        <w:ind w:left="720" w:firstLine="696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По мнению экспертного сообщества, Каспийский энергетический форум </w:t>
      </w:r>
      <w:r>
        <w:rPr>
          <w:rFonts w:ascii="Verdana" w:hAnsi="Verdana"/>
          <w:bCs/>
          <w:sz w:val="20"/>
          <w:szCs w:val="20"/>
        </w:rPr>
        <w:t>- это</w:t>
      </w:r>
      <w:r>
        <w:rPr>
          <w:rFonts w:ascii="Verdana" w:hAnsi="Verdana"/>
          <w:bCs/>
          <w:sz w:val="20"/>
          <w:szCs w:val="20"/>
        </w:rPr>
        <w:t xml:space="preserve"> единственный форум в России, в рамках которого рассматриваются актуальные вопросы Каспийской энергетической повестки, презентуются технологические инновации, проводятся деловые встречи и переговоры в интересах продвижения продукции и услуг компаний-производителей. Ежегодно по итогам состоявшихся на форумах дискуссий в адрес руководителей органов власти и сопредседателей двухсторонних межправительственных комиссий стран региона организаторы направляют Резолюцию и пакет предложений участников форума.</w:t>
      </w:r>
    </w:p>
    <w:p>
      <w:pPr>
        <w:pStyle w:val="NoSpacing"/>
        <w:spacing w:line="276" w:lineRule="auto"/>
        <w:ind w:left="720" w:firstLine="696"/>
        <w:jc w:val="both"/>
        <w:rPr>
          <w:rFonts w:ascii="Verdana" w:eastAsia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По мнению организаторов </w:t>
      </w:r>
      <w:r>
        <w:rPr>
          <w:rFonts w:ascii="Verdana" w:hAnsi="Verdana"/>
          <w:bCs/>
          <w:sz w:val="20"/>
          <w:szCs w:val="20"/>
        </w:rPr>
        <w:t xml:space="preserve">Каспийский энергетический форум </w:t>
      </w:r>
      <w:r>
        <w:rPr>
          <w:rFonts w:ascii="Verdana" w:hAnsi="Verdana"/>
          <w:bCs/>
          <w:sz w:val="20"/>
          <w:szCs w:val="20"/>
        </w:rPr>
        <w:t>придаст сильный импульс активизации научно-инновационного сотрудничества</w:t>
      </w:r>
      <w:r>
        <w:rPr>
          <w:rFonts w:ascii="Verdana" w:hAnsi="Verdana"/>
          <w:bCs/>
          <w:sz w:val="20"/>
          <w:szCs w:val="20"/>
        </w:rPr>
        <w:t xml:space="preserve"> и будет содействовать усилению энергетической безопасности</w:t>
      </w:r>
      <w:r>
        <w:rPr>
          <w:rFonts w:ascii="Verdana" w:hAnsi="Verdana"/>
          <w:bCs/>
          <w:sz w:val="20"/>
          <w:szCs w:val="20"/>
        </w:rPr>
        <w:t xml:space="preserve"> в Каспийском регионе.</w:t>
      </w:r>
      <w:r>
        <w:rPr>
          <w:rFonts w:ascii="Verdana" w:eastAsia="Verdana" w:hAnsi="Verdana"/>
          <w:bCs/>
          <w:sz w:val="20"/>
          <w:szCs w:val="20"/>
        </w:rPr>
        <w:t xml:space="preserve"> </w:t>
      </w:r>
    </w:p>
    <w:p>
      <w:pPr>
        <w:pStyle w:val="NoSpacing"/>
        <w:spacing w:line="276" w:lineRule="auto"/>
        <w:ind w:left="720" w:firstLine="696"/>
        <w:jc w:val="both"/>
        <w:rPr>
          <w:rFonts w:ascii="Verdana" w:eastAsia="Verdana" w:hAnsi="Verdana"/>
          <w:b/>
          <w:bCs/>
          <w:sz w:val="20"/>
          <w:szCs w:val="20"/>
        </w:rPr>
      </w:pPr>
      <w:r>
        <w:rPr>
          <w:rFonts w:ascii="Verdana" w:eastAsia="Verdana" w:hAnsi="Verdana"/>
          <w:b/>
          <w:bCs/>
          <w:sz w:val="20"/>
          <w:szCs w:val="20"/>
        </w:rPr>
        <w:t>Приглашаем все заинтересованные организации принять участие в Юбилейном Каспийском энергетическом форуме!</w:t>
      </w:r>
    </w:p>
    <w:p>
      <w:pPr>
        <w:pStyle w:val="NoSpacing"/>
        <w:spacing w:line="276" w:lineRule="auto"/>
        <w:ind w:left="720" w:firstLine="696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sz w:val="20"/>
          <w:szCs w:val="20"/>
        </w:rPr>
        <w:t xml:space="preserve">Дополнительная </w:t>
      </w:r>
      <w:r>
        <w:rPr>
          <w:rFonts w:ascii="Verdana" w:hAnsi="Verdana"/>
          <w:sz w:val="20"/>
          <w:szCs w:val="20"/>
        </w:rPr>
        <w:t xml:space="preserve">информация по телефонам: </w:t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t>+79996679005,</w:t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098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t xml:space="preserve"> </w:t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099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5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0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5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1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2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3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6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4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7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5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8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6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9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7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8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1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09" simplePos="0">
            <wp:simplePos x="0" y="0"/>
            <wp:positionH relativeFrom="column">
              <wp:posOffset>-422910</wp:posOffset>
            </wp:positionH>
            <wp:positionV relativeFrom="paragraph">
              <wp:posOffset>7433310</wp:posOffset>
            </wp:positionV>
            <wp:extent cx="2371725" cy="819150"/>
            <wp:effectExtent l="0" t="0" r="25400" b="25400"/>
            <wp:wrapNone/>
            <wp:docPr id="68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2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Times New Roman" w:eastAsia="Times New Roman" w:hAnsi="Verdana"/>
          <w:sz w:val="20"/>
          <w:szCs w:val="20"/>
          <w:lang w:eastAsia="ru-RU"/>
        </w:rPr>
        <w:drawing xmlns:mc="http://schemas.openxmlformats.org/markup-compatibility/2006">
          <wp:anchor allowOverlap="1" behindDoc="1" distT="0" distB="0" distL="118872" distR="118872" layoutInCell="1" locked="0" relativeHeight="251652110" simplePos="0">
            <wp:simplePos x="0" y="0"/>
            <wp:positionH relativeFrom="column">
              <wp:align>inside</wp:align>
            </wp:positionH>
            <wp:positionV relativeFrom="paragraph">
              <wp:posOffset>7280275</wp:posOffset>
            </wp:positionV>
            <wp:extent cx="2371725" cy="819150"/>
            <wp:effectExtent l="0" t="0" r="25400" b="25400"/>
            <wp:wrapNone/>
            <wp:docPr id="6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3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19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+79168677462, </w:t>
      </w:r>
      <w:r>
        <w:rPr>
          <w:rFonts w:ascii="Verdana" w:hAnsi="Verdana"/>
          <w:sz w:val="20"/>
          <w:szCs w:val="20"/>
        </w:rPr>
        <w:t>+7966</w:t>
      </w:r>
      <w:r>
        <w:rPr>
          <w:rFonts w:ascii="Verdana" w:hAnsi="Verdana"/>
          <w:sz w:val="20"/>
          <w:szCs w:val="20"/>
        </w:rPr>
        <w:t xml:space="preserve">3100275, </w:t>
      </w:r>
      <w:r>
        <w:rPr>
          <w:rFonts w:ascii="Verdana" w:hAnsi="Verdana"/>
          <w:sz w:val="18"/>
          <w:szCs w:val="18"/>
          <w:lang w:val="en-US"/>
        </w:rPr>
        <w:t>ilya</w:t>
      </w:r>
      <w:r>
        <w:rPr>
          <w:rFonts w:ascii="Verdana" w:hAnsi="Verdana"/>
          <w:sz w:val="18"/>
          <w:szCs w:val="18"/>
        </w:rPr>
        <w:t>-</w:t>
      </w:r>
      <w:r>
        <w:rPr>
          <w:rFonts w:ascii="Verdana" w:hAnsi="Verdana"/>
          <w:sz w:val="18"/>
          <w:szCs w:val="18"/>
          <w:lang w:val="en-US"/>
        </w:rPr>
        <w:t>levshin</w:t>
      </w:r>
      <w:r>
        <w:rPr>
          <w:rFonts w:ascii="Verdana" w:hAnsi="Verdana"/>
          <w:sz w:val="18"/>
          <w:szCs w:val="18"/>
        </w:rPr>
        <w:t>@</w:t>
      </w:r>
      <w:r>
        <w:rPr>
          <w:rFonts w:ascii="Verdana" w:hAnsi="Verdana"/>
          <w:sz w:val="18"/>
          <w:szCs w:val="18"/>
          <w:lang w:val="en-US"/>
        </w:rPr>
        <w:t>inbox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US"/>
        </w:rPr>
        <w:t>ru</w:t>
      </w:r>
      <w:r>
        <w:rPr>
          <w:rFonts w:ascii="Verdana" w:hAnsi="Verdana"/>
          <w:sz w:val="18"/>
          <w:szCs w:val="18"/>
        </w:rPr>
        <w:t xml:space="preserve">, </w:t>
      </w:r>
      <w:r>
        <w:fldChar w:fldCharType="begin"/>
      </w:r>
      <w:r>
        <w:instrText xml:space="preserve">HYPERLINK "mailto:caspiancouncil@mail.ru" </w:instrText>
      </w:r>
      <w:r>
        <w:fldChar w:fldCharType="separate"/>
      </w:r>
      <w:r>
        <w:rPr>
          <w:rStyle w:val="Hyperlink"/>
          <w:rFonts w:ascii="Verdana" w:hAnsi="Verdana"/>
          <w:sz w:val="18"/>
          <w:szCs w:val="18"/>
          <w:lang w:val="en-US"/>
        </w:rPr>
        <w:t>caspiancouncil</w:t>
      </w:r>
      <w:r>
        <w:rPr>
          <w:rStyle w:val="Hyperlink"/>
          <w:rFonts w:ascii="Verdana" w:hAnsi="Verdana"/>
          <w:sz w:val="18"/>
          <w:szCs w:val="18"/>
        </w:rPr>
        <w:t>@</w:t>
      </w:r>
      <w:r>
        <w:rPr>
          <w:rStyle w:val="Hyperlink"/>
          <w:rFonts w:ascii="Verdana" w:hAnsi="Verdana"/>
          <w:sz w:val="18"/>
          <w:szCs w:val="18"/>
          <w:lang w:val="en-US"/>
        </w:rPr>
        <w:t>mail</w:t>
      </w:r>
      <w:r>
        <w:rPr>
          <w:rStyle w:val="Hyperlink"/>
          <w:rFonts w:ascii="Verdana" w:hAnsi="Verdana"/>
          <w:sz w:val="18"/>
          <w:szCs w:val="18"/>
        </w:rPr>
        <w:t>.</w:t>
      </w:r>
      <w:r>
        <w:rPr>
          <w:rStyle w:val="Hyperlink"/>
          <w:rFonts w:ascii="Verdana" w:hAnsi="Verdana"/>
          <w:sz w:val="18"/>
          <w:szCs w:val="18"/>
          <w:lang w:val="en-US"/>
        </w:rPr>
        <w:t>ru</w:t>
      </w:r>
      <w:r>
        <w:fldChar w:fldCharType="end"/>
      </w:r>
      <w:r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  <w:lang w:val="en-US"/>
        </w:rPr>
        <w:t>www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US"/>
        </w:rPr>
        <w:t>c</w:t>
      </w:r>
      <w:r>
        <w:rPr>
          <w:rFonts w:ascii="Verdana" w:hAnsi="Verdana"/>
          <w:sz w:val="18"/>
          <w:szCs w:val="18"/>
          <w:lang w:val="en-US"/>
        </w:rPr>
        <w:t>aspiansovet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US"/>
        </w:rPr>
        <w:t xml:space="preserve">ru, </w:t>
      </w:r>
      <w:r>
        <w:rPr>
          <w:rFonts w:ascii="Verdana" w:hAnsi="Verdana"/>
          <w:sz w:val="18"/>
          <w:szCs w:val="18"/>
          <w:lang w:val="en-US"/>
        </w:rPr>
        <w:t>www.caspiandialogue.ru</w:t>
      </w:r>
      <w:r>
        <w:rPr>
          <w:rFonts w:ascii="Verdana" w:hAnsi="Verdana"/>
          <w:color w:val="000000"/>
          <w:sz w:val="20"/>
          <w:szCs w:val="20"/>
        </w:rPr>
        <w:t>.</w:t>
      </w:r>
    </w:p>
    <w:p>
      <w:pPr>
        <w:pStyle w:val="NoSpacing"/>
        <w:spacing w:line="276" w:lineRule="auto"/>
        <w:ind w:left="720"/>
        <w:jc w:val="both"/>
        <w:rPr>
          <w:rFonts w:ascii="Verdana" w:hAnsi="Verdana"/>
          <w:b/>
          <w:sz w:val="20"/>
          <w:szCs w:val="20"/>
        </w:rPr>
      </w:pPr>
    </w:p>
    <w:sectPr>
      <w:headerReference w:type="default" r:id="rId116"/>
      <w:headerReference w:type="first" r:id="rId117"/>
      <w:headerReference w:type="even" r:id="rId118"/>
      <w:footerReference w:type="default" r:id="rId119"/>
      <w:footerReference w:type="first" r:id="rId120"/>
      <w:footerReference w:type="even" r:id="rId121"/>
      <w:pgSz w:w="11906" w:h="16838"/>
      <w:pgMar w:top="851" w:right="851" w:bottom="851" w:left="90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Helvetica Neue">
    <w:charset w:val="00"/>
    <w:family w:val="swiss"/>
    <w:pitch w:val="variable"/>
  </w:font>
  <w:font w:name="Segoe UI">
    <w:charset w:val="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  <w:r>
      <w:rPr>
        <w:lang w:eastAsia="ru-RU"/>
      </w:rPr>
      <w:drawing xmlns:mc="http://schemas.openxmlformats.org/markup-compatibility/2006">
        <wp:anchor allowOverlap="1" behindDoc="1" distT="0" distB="0" distL="114300" distR="114300" layoutInCell="1" locked="0" relativeHeight="251652097" simplePos="0">
          <wp:simplePos x="0" y="0"/>
          <wp:positionH relativeFrom="column">
            <wp:posOffset>1281430</wp:posOffset>
          </wp:positionH>
          <wp:positionV relativeFrom="paragraph">
            <wp:posOffset>-527050</wp:posOffset>
          </wp:positionV>
          <wp:extent cx="6299835" cy="1323340"/>
          <wp:effectExtent l="0" t="0" r="0" b="0"/>
          <wp:wrapNone/>
          <wp:docPr id="70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Рисунок 1"/>
                  <pic:cNvPicPr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9835" cy="1323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cs="Times New Roman" w:hAnsi="Courier New" w:hint="default"/>
        <w:sz w:val="20"/>
      </w:rPr>
    </w:lvl>
    <w:lvl w:ilvl="2" w:tentative="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hybridMultilevel"/>
    <w:lvl w:ilvl="0" w:tentative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 w:tentative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975"/>
    <w:rsid w:val="000103C6"/>
    <w:rsid w:val="00025DCD"/>
    <w:rsid w:val="0002707C"/>
    <w:rsid w:val="00041616"/>
    <w:rsid w:val="00041F5E"/>
    <w:rsid w:val="00043E06"/>
    <w:rsid w:val="000474A0"/>
    <w:rsid w:val="0004797E"/>
    <w:rsid w:val="00047DF4"/>
    <w:rsid w:val="000707D0"/>
    <w:rsid w:val="00087D26"/>
    <w:rsid w:val="00095913"/>
    <w:rsid w:val="000A06E1"/>
    <w:rsid w:val="000A3824"/>
    <w:rsid w:val="000D35FB"/>
    <w:rsid w:val="000E4BEC"/>
    <w:rsid w:val="000E5DB0"/>
    <w:rsid w:val="0013269C"/>
    <w:rsid w:val="001459D9"/>
    <w:rsid w:val="00153314"/>
    <w:rsid w:val="001678E9"/>
    <w:rsid w:val="001814DF"/>
    <w:rsid w:val="00193106"/>
    <w:rsid w:val="001A172F"/>
    <w:rsid w:val="001A4037"/>
    <w:rsid w:val="001B76CC"/>
    <w:rsid w:val="001C77BD"/>
    <w:rsid w:val="00286594"/>
    <w:rsid w:val="002A4167"/>
    <w:rsid w:val="002A53A2"/>
    <w:rsid w:val="002B604B"/>
    <w:rsid w:val="002F641B"/>
    <w:rsid w:val="00306BC8"/>
    <w:rsid w:val="003734B0"/>
    <w:rsid w:val="003B71B8"/>
    <w:rsid w:val="003C5364"/>
    <w:rsid w:val="003E697A"/>
    <w:rsid w:val="003F4BC5"/>
    <w:rsid w:val="003F6025"/>
    <w:rsid w:val="004003B2"/>
    <w:rsid w:val="004319B5"/>
    <w:rsid w:val="00454CFF"/>
    <w:rsid w:val="0047210A"/>
    <w:rsid w:val="00473C02"/>
    <w:rsid w:val="00481D6F"/>
    <w:rsid w:val="004954EB"/>
    <w:rsid w:val="004A5C4D"/>
    <w:rsid w:val="004D1DEB"/>
    <w:rsid w:val="004F7EE5"/>
    <w:rsid w:val="0050765C"/>
    <w:rsid w:val="00511D58"/>
    <w:rsid w:val="0051540B"/>
    <w:rsid w:val="00557751"/>
    <w:rsid w:val="00593E87"/>
    <w:rsid w:val="005A2CBD"/>
    <w:rsid w:val="005E437E"/>
    <w:rsid w:val="005E6EBB"/>
    <w:rsid w:val="006405B3"/>
    <w:rsid w:val="00643B3F"/>
    <w:rsid w:val="006450DA"/>
    <w:rsid w:val="00651C44"/>
    <w:rsid w:val="006521FF"/>
    <w:rsid w:val="006609A7"/>
    <w:rsid w:val="00661A7D"/>
    <w:rsid w:val="00684690"/>
    <w:rsid w:val="0068551C"/>
    <w:rsid w:val="006B5AB4"/>
    <w:rsid w:val="006B6013"/>
    <w:rsid w:val="006E0F90"/>
    <w:rsid w:val="006E2AB5"/>
    <w:rsid w:val="0070347F"/>
    <w:rsid w:val="00711125"/>
    <w:rsid w:val="00716E66"/>
    <w:rsid w:val="00722415"/>
    <w:rsid w:val="00760690"/>
    <w:rsid w:val="00766BAC"/>
    <w:rsid w:val="00782069"/>
    <w:rsid w:val="0078346E"/>
    <w:rsid w:val="0079559D"/>
    <w:rsid w:val="007C5DD7"/>
    <w:rsid w:val="007C65D4"/>
    <w:rsid w:val="007D1A9A"/>
    <w:rsid w:val="008160AD"/>
    <w:rsid w:val="00832A35"/>
    <w:rsid w:val="00843834"/>
    <w:rsid w:val="00843CA6"/>
    <w:rsid w:val="0088060B"/>
    <w:rsid w:val="00902C1D"/>
    <w:rsid w:val="00926A53"/>
    <w:rsid w:val="00942C09"/>
    <w:rsid w:val="00962EF3"/>
    <w:rsid w:val="009A73E0"/>
    <w:rsid w:val="009F3D95"/>
    <w:rsid w:val="00A233D7"/>
    <w:rsid w:val="00A70FCC"/>
    <w:rsid w:val="00AA58A2"/>
    <w:rsid w:val="00AC4988"/>
    <w:rsid w:val="00AD29A9"/>
    <w:rsid w:val="00AD4DBB"/>
    <w:rsid w:val="00AF459B"/>
    <w:rsid w:val="00B2096D"/>
    <w:rsid w:val="00B31FC0"/>
    <w:rsid w:val="00B32E07"/>
    <w:rsid w:val="00B36399"/>
    <w:rsid w:val="00B42BD6"/>
    <w:rsid w:val="00B44891"/>
    <w:rsid w:val="00B60975"/>
    <w:rsid w:val="00B70B2F"/>
    <w:rsid w:val="00B77E5D"/>
    <w:rsid w:val="00BA796C"/>
    <w:rsid w:val="00BD4865"/>
    <w:rsid w:val="00BE00EB"/>
    <w:rsid w:val="00BE69E7"/>
    <w:rsid w:val="00C04C62"/>
    <w:rsid w:val="00C1272D"/>
    <w:rsid w:val="00C70281"/>
    <w:rsid w:val="00C7570A"/>
    <w:rsid w:val="00C81256"/>
    <w:rsid w:val="00C97DDF"/>
    <w:rsid w:val="00CB676B"/>
    <w:rsid w:val="00CC7E48"/>
    <w:rsid w:val="00CD559F"/>
    <w:rsid w:val="00CD5857"/>
    <w:rsid w:val="00CF1665"/>
    <w:rsid w:val="00CF4448"/>
    <w:rsid w:val="00D10F84"/>
    <w:rsid w:val="00D12216"/>
    <w:rsid w:val="00D238E1"/>
    <w:rsid w:val="00D300A4"/>
    <w:rsid w:val="00D52C3E"/>
    <w:rsid w:val="00D71CA9"/>
    <w:rsid w:val="00D95E84"/>
    <w:rsid w:val="00E07661"/>
    <w:rsid w:val="00E127B1"/>
    <w:rsid w:val="00E27D07"/>
    <w:rsid w:val="00E30973"/>
    <w:rsid w:val="00E6095F"/>
    <w:rsid w:val="00E67FEB"/>
    <w:rsid w:val="00E7225D"/>
    <w:rsid w:val="00EB5F37"/>
    <w:rsid w:val="00EB740B"/>
    <w:rsid w:val="00F31003"/>
    <w:rsid w:val="00F64EFE"/>
    <w:rsid w:val="00F65158"/>
    <w:rsid w:val="00F7464E"/>
    <w:rsid w:val="00FA5594"/>
    <w:rsid w:val="00FE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093B1"/>
  <w15:chartTrackingRefBased/>
  <w15:docId w15:val="{49FB1843-B55D-418E-A8C4-888AD121501B}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  <w:pPr>
      <w:spacing w:line="254" w:lineRule="auto"/>
    </w:p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unhideWhenUsed w:val="on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on"/>
    <w:pPr>
      <w:spacing w:line="252" w:lineRule="auto"/>
      <w:ind w:left="720"/>
      <w:contextualSpacing w:val="on"/>
    </w:p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="Calibri" w:cs="Times New Roman" w:eastAsia="Times New Roman" w:hAnsi="Calibri"/>
      <w:lang w:eastAsia="ru-RU"/>
    </w:rPr>
  </w:style>
  <w:style w:type="character" w:styleId="UnresolvedMention">
    <w:name w:val="Unresolved Mention"/>
    <w:basedOn w:val="DefaultParagraphFont"/>
    <w:uiPriority w:val="99"/>
    <w:semiHidden w:val="on"/>
    <w:unhideWhenUsed w:val="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0" Type="http://schemas.openxmlformats.org/officeDocument/2006/relationships/footer" Target="footer3.xml"/><Relationship Id="rId101" Type="http://schemas.openxmlformats.org/officeDocument/2006/relationships/image" Target="media/image2.jpeg"/><Relationship Id="rId102" Type="http://schemas.openxmlformats.org/officeDocument/2006/relationships/image" Target="media/image4.emf"/><Relationship Id="rId103" Type="http://schemas.openxmlformats.org/officeDocument/2006/relationships/image" Target="media/image17.png"/><Relationship Id="rId104" Type="http://schemas.openxmlformats.org/officeDocument/2006/relationships/image" Target="media/image18.png"/><Relationship Id="rId105" Type="http://schemas.openxmlformats.org/officeDocument/2006/relationships/image" Target="media/image19.png"/><Relationship Id="rId106" Type="http://schemas.openxmlformats.org/officeDocument/2006/relationships/image" Target="media/image20.png"/><Relationship Id="rId107" Type="http://schemas.openxmlformats.org/officeDocument/2006/relationships/image" Target="media/image21.png"/><Relationship Id="rId108" Type="http://schemas.openxmlformats.org/officeDocument/2006/relationships/image" Target="media/image22.png"/><Relationship Id="rId109" Type="http://schemas.openxmlformats.org/officeDocument/2006/relationships/image" Target="media/image23.png"/><Relationship Id="rId11" Type="http://schemas.openxmlformats.org/officeDocument/2006/relationships/header" Target="header1.xml"/><Relationship Id="rId110" Type="http://schemas.openxmlformats.org/officeDocument/2006/relationships/image" Target="media/image24.png"/><Relationship Id="rId111" Type="http://schemas.openxmlformats.org/officeDocument/2006/relationships/image" Target="media/image25.png"/><Relationship Id="rId112" Type="http://schemas.openxmlformats.org/officeDocument/2006/relationships/image" Target="media/image26.png"/><Relationship Id="rId113" Type="http://schemas.openxmlformats.org/officeDocument/2006/relationships/image" Target="media/image27.png"/><Relationship Id="rId114" Type="http://schemas.openxmlformats.org/officeDocument/2006/relationships/image" Target="media/image28.png"/><Relationship Id="rId115" Type="http://schemas.openxmlformats.org/officeDocument/2006/relationships/image" Target="media/image29.png"/><Relationship Id="rId116" Type="http://schemas.openxmlformats.org/officeDocument/2006/relationships/header" Target="header1.xml"/><Relationship Id="rId117" Type="http://schemas.openxmlformats.org/officeDocument/2006/relationships/header" Target="header2.xml"/><Relationship Id="rId118" Type="http://schemas.openxmlformats.org/officeDocument/2006/relationships/header" Target="header3.xml"/><Relationship Id="rId119" Type="http://schemas.openxmlformats.org/officeDocument/2006/relationships/footer" Target="footer1.xml"/><Relationship Id="rId12" Type="http://schemas.openxmlformats.org/officeDocument/2006/relationships/header" Target="header2.xml"/><Relationship Id="rId120" Type="http://schemas.openxmlformats.org/officeDocument/2006/relationships/footer" Target="footer2.xml"/><Relationship Id="rId121" Type="http://schemas.openxmlformats.org/officeDocument/2006/relationships/footer" Target="foot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header" Target="header3.xml"/><Relationship Id="rId3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oter" Target="footer3.xml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header" Target="header3.xml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oter" Target="footer3.xml"/><Relationship Id="rId5" Type="http://schemas.openxmlformats.org/officeDocument/2006/relationships/footnotes" Target="footnotes.xml"/><Relationship Id="rId54" Type="http://schemas.openxmlformats.org/officeDocument/2006/relationships/header" Target="header1.xml"/><Relationship Id="rId55" Type="http://schemas.openxmlformats.org/officeDocument/2006/relationships/header" Target="header2.xml"/><Relationship Id="rId56" Type="http://schemas.openxmlformats.org/officeDocument/2006/relationships/header" Target="header3.xml"/><Relationship Id="rId57" Type="http://schemas.openxmlformats.org/officeDocument/2006/relationships/footer" Target="footer1.xml"/><Relationship Id="rId58" Type="http://schemas.openxmlformats.org/officeDocument/2006/relationships/footer" Target="footer2.xml"/><Relationship Id="rId59" Type="http://schemas.openxmlformats.org/officeDocument/2006/relationships/footer" Target="footer3.xml"/><Relationship Id="rId6" Type="http://schemas.openxmlformats.org/officeDocument/2006/relationships/endnotes" Target="endnotes.xml"/><Relationship Id="rId74" Type="http://schemas.openxmlformats.org/officeDocument/2006/relationships/header" Target="header1.xml"/><Relationship Id="rId75" Type="http://schemas.openxmlformats.org/officeDocument/2006/relationships/header" Target="header2.xml"/><Relationship Id="rId76" Type="http://schemas.openxmlformats.org/officeDocument/2006/relationships/header" Target="header3.xml"/><Relationship Id="rId77" Type="http://schemas.openxmlformats.org/officeDocument/2006/relationships/footer" Target="footer1.xml"/><Relationship Id="rId78" Type="http://schemas.openxmlformats.org/officeDocument/2006/relationships/footer" Target="footer2.xml"/><Relationship Id="rId79" Type="http://schemas.openxmlformats.org/officeDocument/2006/relationships/footer" Target="footer3.xml"/><Relationship Id="rId95" Type="http://schemas.openxmlformats.org/officeDocument/2006/relationships/header" Target="header1.xml"/><Relationship Id="rId96" Type="http://schemas.openxmlformats.org/officeDocument/2006/relationships/header" Target="header2.xml"/><Relationship Id="rId97" Type="http://schemas.openxmlformats.org/officeDocument/2006/relationships/header" Target="header3.xml"/><Relationship Id="rId98" Type="http://schemas.openxmlformats.org/officeDocument/2006/relationships/footer" Target="footer1.xml"/><Relationship Id="rId99" Type="http://schemas.openxmlformats.org/officeDocument/2006/relationships/footer" Target="footer2.xml"/><Relationship Id="rId4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hyperlink" Target="mailto:caspiansovet@mail.ru" TargetMode="External"/><Relationship Id="rId9" Type="http://schemas.openxmlformats.org/officeDocument/2006/relationships/hyperlink" Target="http://www.caspiandialogue.ru" TargetMode="External"/><Relationship Id="rId10" Type="http://schemas.openxmlformats.org/officeDocument/2006/relationships/hyperlink" Target="http://www.caspiansovet.ru" TargetMode="External"/><Relationship Id="rId19" Type="http://schemas.openxmlformats.org/officeDocument/2006/relationships/image" Target="media/image2.emf"/><Relationship Id="rId26" Type="http://schemas.openxmlformats.org/officeDocument/2006/relationships/image" Target="media/image1.emf"/><Relationship Id="rId33" Type="http://schemas.openxmlformats.org/officeDocument/2006/relationships/image" Target="media/image1.emf"/><Relationship Id="rId40" Type="http://schemas.openxmlformats.org/officeDocument/2006/relationships/image" Target="media/image1.emf"/><Relationship Id="rId41" Type="http://schemas.openxmlformats.org/officeDocument/2006/relationships/image" Target="media/image2.png"/><Relationship Id="rId42" Type="http://schemas.openxmlformats.org/officeDocument/2006/relationships/image" Target="media/image3.png"/><Relationship Id="rId43" Type="http://schemas.openxmlformats.org/officeDocument/2006/relationships/image" Target="media/image4.png"/><Relationship Id="rId44" Type="http://schemas.openxmlformats.org/officeDocument/2006/relationships/image" Target="media/image5.png"/><Relationship Id="rId45" Type="http://schemas.openxmlformats.org/officeDocument/2006/relationships/image" Target="media/image6.png"/><Relationship Id="rId46" Type="http://schemas.openxmlformats.org/officeDocument/2006/relationships/image" Target="media/image7.png"/><Relationship Id="rId47" Type="http://schemas.openxmlformats.org/officeDocument/2006/relationships/image" Target="media/image8.png"/><Relationship Id="rId48" Type="http://schemas.openxmlformats.org/officeDocument/2006/relationships/image" Target="media/image9.png"/><Relationship Id="rId49" Type="http://schemas.openxmlformats.org/officeDocument/2006/relationships/image" Target="media/image10.png"/><Relationship Id="rId50" Type="http://schemas.openxmlformats.org/officeDocument/2006/relationships/image" Target="media/image11.png"/><Relationship Id="rId51" Type="http://schemas.openxmlformats.org/officeDocument/2006/relationships/image" Target="media/image12.png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60" Type="http://schemas.openxmlformats.org/officeDocument/2006/relationships/image" Target="media/image1.emf"/><Relationship Id="rId61" Type="http://schemas.openxmlformats.org/officeDocument/2006/relationships/image" Target="media/image2.png"/><Relationship Id="rId62" Type="http://schemas.openxmlformats.org/officeDocument/2006/relationships/image" Target="media/image3.png"/><Relationship Id="rId63" Type="http://schemas.openxmlformats.org/officeDocument/2006/relationships/image" Target="media/image4.png"/><Relationship Id="rId64" Type="http://schemas.openxmlformats.org/officeDocument/2006/relationships/image" Target="media/image5.png"/><Relationship Id="rId65" Type="http://schemas.openxmlformats.org/officeDocument/2006/relationships/image" Target="media/image6.png"/><Relationship Id="rId66" Type="http://schemas.openxmlformats.org/officeDocument/2006/relationships/image" Target="media/image7.png"/><Relationship Id="rId67" Type="http://schemas.openxmlformats.org/officeDocument/2006/relationships/image" Target="media/image8.png"/><Relationship Id="rId68" Type="http://schemas.openxmlformats.org/officeDocument/2006/relationships/image" Target="media/image9.png"/><Relationship Id="rId69" Type="http://schemas.openxmlformats.org/officeDocument/2006/relationships/image" Target="media/image10.png"/><Relationship Id="rId70" Type="http://schemas.openxmlformats.org/officeDocument/2006/relationships/image" Target="media/image11.png"/><Relationship Id="rId71" Type="http://schemas.openxmlformats.org/officeDocument/2006/relationships/image" Target="media/image12.png"/><Relationship Id="rId72" Type="http://schemas.openxmlformats.org/officeDocument/2006/relationships/image" Target="media/image13.png"/><Relationship Id="rId73" Type="http://schemas.openxmlformats.org/officeDocument/2006/relationships/image" Target="media/image14.png"/><Relationship Id="rId80" Type="http://schemas.openxmlformats.org/officeDocument/2006/relationships/image" Target="media/image1.jpeg"/><Relationship Id="rId81" Type="http://schemas.openxmlformats.org/officeDocument/2006/relationships/image" Target="media/image3.emf"/><Relationship Id="rId82" Type="http://schemas.openxmlformats.org/officeDocument/2006/relationships/image" Target="media/image4.png"/><Relationship Id="rId83" Type="http://schemas.openxmlformats.org/officeDocument/2006/relationships/image" Target="media/image5.png"/><Relationship Id="rId84" Type="http://schemas.openxmlformats.org/officeDocument/2006/relationships/image" Target="media/image6.png"/><Relationship Id="rId85" Type="http://schemas.openxmlformats.org/officeDocument/2006/relationships/image" Target="media/image7.png"/><Relationship Id="rId86" Type="http://schemas.openxmlformats.org/officeDocument/2006/relationships/image" Target="media/image8.png"/><Relationship Id="rId87" Type="http://schemas.openxmlformats.org/officeDocument/2006/relationships/image" Target="media/image9.png"/><Relationship Id="rId88" Type="http://schemas.openxmlformats.org/officeDocument/2006/relationships/image" Target="media/image10.png"/><Relationship Id="rId89" Type="http://schemas.openxmlformats.org/officeDocument/2006/relationships/image" Target="media/image11.png"/><Relationship Id="rId90" Type="http://schemas.openxmlformats.org/officeDocument/2006/relationships/image" Target="media/image12.png"/><Relationship Id="rId91" Type="http://schemas.openxmlformats.org/officeDocument/2006/relationships/image" Target="media/image13.png"/><Relationship Id="rId92" Type="http://schemas.openxmlformats.org/officeDocument/2006/relationships/image" Target="media/image14.png"/><Relationship Id="rId93" Type="http://schemas.openxmlformats.org/officeDocument/2006/relationships/image" Target="media/image15.png"/><Relationship Id="rId94" Type="http://schemas.openxmlformats.org/officeDocument/2006/relationships/image" Target="media/image16.pn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15.jpeg"/><Relationship Id="rId6" Type="http://schemas.openxmlformats.org/officeDocument/2006/relationships/image" Target="media/image15.jpeg"/><Relationship Id="rId7" Type="http://schemas.openxmlformats.org/officeDocument/2006/relationships/image" Target="media/image17.jpeg"/><Relationship Id="rId8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/Relationships>
</file>

<file path=word/_rels/footer3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header2.xml.rels><?xml version="1.0" encoding="UTF-8" standalone="yes"?>
<Relationships xmlns="http://schemas.openxmlformats.org/package/2006/relationships"></Relationships>
</file>

<file path=word/_rels/header3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2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Левшина Нина</dc:creator>
  <cp:lastModifiedBy>Нина Левшина</cp:lastModifiedBy>
</cp:coreProperties>
</file>